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righ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ROBERTS WESLEYAN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ind w:right="0"/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Pathway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ind w:righ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SUMMER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Pathway courses at Roberts Wesleyan College are time shortened courses designed to meet the academic needs of those who are preparing to enter a degree program or those who are attempting to complete a degree.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 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5/2025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- 6/29/202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11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1211"/>
        <w:gridCol w:w="1178"/>
        <w:gridCol w:w="3191"/>
        <w:gridCol w:w="540"/>
        <w:gridCol w:w="1800"/>
        <w:gridCol w:w="1800"/>
        <w:tblGridChange w:id="0">
          <w:tblGrid>
            <w:gridCol w:w="1458"/>
            <w:gridCol w:w="1211"/>
            <w:gridCol w:w="1178"/>
            <w:gridCol w:w="3191"/>
            <w:gridCol w:w="540"/>
            <w:gridCol w:w="1800"/>
            <w:gridCol w:w="1800"/>
          </w:tblGrid>
        </w:tblGridChange>
      </w:tblGrid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DAY/TIME/LOC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 0090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WRITER’S WORKSHOP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 6-10pm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Henderson, Bonnie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 2050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 &amp; CRITICAL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Frasier, Karen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HUMN 3010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HISTORY &amp; PHILOSOPHY OF ADULT EDUCATION**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(+ 2 Life Learning Papers)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Tues. 6-8:30pm Wks. 1-3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Wks. 4-8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Rebstein, Joy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LITR 3040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SHORT STORY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Hutton, Heather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NHAD 4100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TERM 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HUMAN RESOURCES IN HEALTH CARE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vertAlign w:val="baseline"/>
                <w:rtl w:val="0"/>
              </w:rPr>
              <w:t xml:space="preserve">(NLA/Business)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Goehle, John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NSCI 2070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FORENSIC SCIENCE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(LA/Natural Science)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 6-8:30pm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Hansen, Paul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SGEN 3100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WOMEN IN LEADERSHIP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Gruttadauria, Deborah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*may meet the writing requirement for AGE Program admission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**a grade of C or above in a College Composition Course is required.  Additionally, this course will 3 have synchronous meetings followed by online class work</w:t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 B 6/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30/2028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- 8/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2"/>
        <w:tblW w:w="111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1211"/>
        <w:gridCol w:w="1178"/>
        <w:gridCol w:w="3191"/>
        <w:gridCol w:w="540"/>
        <w:gridCol w:w="1800"/>
        <w:gridCol w:w="1800"/>
        <w:tblGridChange w:id="0">
          <w:tblGrid>
            <w:gridCol w:w="1458"/>
            <w:gridCol w:w="1211"/>
            <w:gridCol w:w="1178"/>
            <w:gridCol w:w="3191"/>
            <w:gridCol w:w="540"/>
            <w:gridCol w:w="1800"/>
            <w:gridCol w:w="1800"/>
          </w:tblGrid>
        </w:tblGridChange>
      </w:tblGrid>
      <w:tr>
        <w:trPr>
          <w:cantSplit w:val="1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COURSE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SUBTYPE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DAY/TIME/LOC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BIOL 1500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HUMAN NUTRI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(LA/Natural Sciences)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Cappon, Christopher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COMM 1101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PRINCIPLES OF SPEECH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Tues 6-8:30pm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Wiley, Mallary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 0090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WRITER’S WORKSHOP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 6-10pm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S/Online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Henderson, Bonnie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CSCI 1010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INTRO TO COMPUTERS &amp; APPLICATIONS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Glantz, Patrick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MUSC 1910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INTRO TO MUSIC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(LA/Humanities)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Arnold, Mark</w:t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PSYC 1010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PSYCHOLOGY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Marshall, Christa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SOCS 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MODERN SOCIAL PROBLEMS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(LA/Social Science)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Hernandez, Alexsis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NOTES: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A=Asynchronous – online only / S=Synchronous – online meeting / some courses will have a combination of both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Tuition Costs: 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Tuition is billed at the same rate as the students program major.  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 non-matriculated students, the rate is $435 per credit hour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Writer’s Workshop $325 per course / Life Learning Papers -- $300 per paper submitted / Lab Fee -- $150</w:t>
      </w:r>
    </w:p>
    <w:sectPr>
      <w:footerReference r:id="rId7" w:type="default"/>
      <w:footerReference r:id="rId8" w:type="even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Script MT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Script MT Bold" w:cs="Script MT Bold" w:eastAsia="Script MT Bold" w:hAnsi="Script MT 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Script MT Bold" w:cs="Script MT Bold" w:eastAsia="Script MT Bold" w:hAnsi="Script MT 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9Char">
    <w:name w:val="Heading 9 Char"/>
    <w:next w:val="Heading9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right="-1440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ind w:right="-144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6rEusq446LuDSR3vN9LcFf16w==">CgMxLjA4AHIhMV95UC11MENsc2NwdmVpc1FKN3ZOd0Rwd1Zfek5SRlAt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2023-09-27T14:35:00Z</dcterms:created>
  <dc:creator>snook_karen</dc:creator>
</cp:coreProperties>
</file>